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8715B" w14:textId="7563114B" w:rsidR="0032676E" w:rsidRPr="0077040A" w:rsidRDefault="00DC4876">
      <w:pPr>
        <w:rPr>
          <w:sz w:val="32"/>
          <w:szCs w:val="32"/>
        </w:rPr>
      </w:pPr>
      <w:bookmarkStart w:id="0" w:name="_GoBack"/>
      <w:bookmarkEnd w:id="0"/>
      <w:r w:rsidRPr="0077040A">
        <w:rPr>
          <w:rFonts w:cs="Arial"/>
          <w:noProof/>
          <w:sz w:val="32"/>
          <w:szCs w:val="32"/>
          <w:lang w:eastAsia="en-GB"/>
        </w:rPr>
        <w:drawing>
          <wp:anchor distT="0" distB="0" distL="114300" distR="114300" simplePos="0" relativeHeight="251659264" behindDoc="0" locked="0" layoutInCell="1" allowOverlap="1" wp14:anchorId="7216E7D5" wp14:editId="1A7B1CE8">
            <wp:simplePos x="0" y="0"/>
            <wp:positionH relativeFrom="margin">
              <wp:align>right</wp:align>
            </wp:positionH>
            <wp:positionV relativeFrom="margin">
              <wp:posOffset>-273050</wp:posOffset>
            </wp:positionV>
            <wp:extent cx="24003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eds_logo_black252x100.gif"/>
                    <pic:cNvPicPr/>
                  </pic:nvPicPr>
                  <pic:blipFill>
                    <a:blip r:embed="rId8">
                      <a:extLst>
                        <a:ext uri="{28A0092B-C50C-407E-A947-70E740481C1C}">
                          <a14:useLocalDpi xmlns:a14="http://schemas.microsoft.com/office/drawing/2010/main" val="0"/>
                        </a:ext>
                      </a:extLst>
                    </a:blip>
                    <a:stretch>
                      <a:fillRect/>
                    </a:stretch>
                  </pic:blipFill>
                  <pic:spPr>
                    <a:xfrm>
                      <a:off x="0" y="0"/>
                      <a:ext cx="2400300" cy="952500"/>
                    </a:xfrm>
                    <a:prstGeom prst="rect">
                      <a:avLst/>
                    </a:prstGeom>
                  </pic:spPr>
                </pic:pic>
              </a:graphicData>
            </a:graphic>
          </wp:anchor>
        </w:drawing>
      </w:r>
      <w:r w:rsidRPr="0077040A">
        <w:rPr>
          <w:sz w:val="32"/>
          <w:szCs w:val="32"/>
        </w:rPr>
        <w:t>Research Development Fund application guidance</w:t>
      </w:r>
    </w:p>
    <w:p w14:paraId="749B55C4" w14:textId="06363339" w:rsidR="00DC4876" w:rsidRDefault="00DC4876">
      <w:pPr>
        <w:rPr>
          <w:sz w:val="32"/>
          <w:szCs w:val="32"/>
        </w:rPr>
      </w:pPr>
    </w:p>
    <w:p w14:paraId="6857BE4A" w14:textId="360A235A" w:rsidR="00DC4876" w:rsidRPr="00F20C14" w:rsidRDefault="00F20C14">
      <w:pPr>
        <w:rPr>
          <w:sz w:val="20"/>
          <w:szCs w:val="20"/>
        </w:rPr>
      </w:pPr>
      <w:r w:rsidRPr="00F20C14">
        <w:rPr>
          <w:sz w:val="20"/>
          <w:szCs w:val="20"/>
        </w:rPr>
        <w:t>Please contact the Public Engagement team (</w:t>
      </w:r>
      <w:hyperlink r:id="rId9" w:history="1">
        <w:r w:rsidRPr="00F20C14">
          <w:rPr>
            <w:rStyle w:val="Hyperlink"/>
            <w:sz w:val="20"/>
            <w:szCs w:val="20"/>
          </w:rPr>
          <w:t>peteam@leeds.ac.uk</w:t>
        </w:r>
      </w:hyperlink>
      <w:r w:rsidRPr="00F20C14">
        <w:rPr>
          <w:sz w:val="20"/>
          <w:szCs w:val="20"/>
        </w:rPr>
        <w:t>) if you have any questions about the fund, the application process, or reporting after receiving the fund.</w:t>
      </w:r>
    </w:p>
    <w:p w14:paraId="19BD5745" w14:textId="77777777" w:rsidR="00F20C14" w:rsidRDefault="00F20C14">
      <w:pPr>
        <w:rPr>
          <w:sz w:val="28"/>
          <w:szCs w:val="28"/>
        </w:rPr>
      </w:pPr>
    </w:p>
    <w:p w14:paraId="771503D5" w14:textId="0010A602" w:rsidR="00DC4876" w:rsidRPr="0077040A" w:rsidRDefault="00DC4876">
      <w:pPr>
        <w:rPr>
          <w:b/>
          <w:bCs/>
          <w:szCs w:val="24"/>
        </w:rPr>
      </w:pPr>
      <w:r w:rsidRPr="0077040A">
        <w:rPr>
          <w:b/>
          <w:bCs/>
          <w:szCs w:val="24"/>
        </w:rPr>
        <w:t>Introduction</w:t>
      </w:r>
    </w:p>
    <w:p w14:paraId="5C403E77" w14:textId="135F9485" w:rsidR="00DC4876" w:rsidRPr="0077040A" w:rsidRDefault="00DC4876">
      <w:pPr>
        <w:rPr>
          <w:sz w:val="22"/>
        </w:rPr>
      </w:pPr>
      <w:r w:rsidRPr="0077040A">
        <w:rPr>
          <w:sz w:val="22"/>
        </w:rPr>
        <w:t xml:space="preserve">Many research funding streams now require or look upon favourably when members of the public are involved in the development of research grant applications. The University recognises that there are financial implications when involving or engaging with specific demographics outside of academia. The Research Development Fun (RDF) gives a financial grant to researchers who want to engage with this demographic, to develop a grant application. </w:t>
      </w:r>
    </w:p>
    <w:p w14:paraId="42A57D82" w14:textId="795917AD" w:rsidR="00DC4876" w:rsidRPr="0077040A" w:rsidRDefault="00DC4876">
      <w:pPr>
        <w:rPr>
          <w:sz w:val="22"/>
        </w:rPr>
      </w:pPr>
      <w:r w:rsidRPr="0077040A">
        <w:rPr>
          <w:sz w:val="22"/>
        </w:rPr>
        <w:t>The definition of ‘public’ will depend on the topic area. Researchers should seek to involve people with the relevant experience and expertise for their particular research area. The public can include</w:t>
      </w:r>
    </w:p>
    <w:p w14:paraId="69EE3A09" w14:textId="30A12443" w:rsidR="00DC4876" w:rsidRPr="0077040A" w:rsidRDefault="00DC4876" w:rsidP="00DC4876">
      <w:pPr>
        <w:pStyle w:val="ListParagraph"/>
        <w:numPr>
          <w:ilvl w:val="0"/>
          <w:numId w:val="1"/>
        </w:numPr>
        <w:rPr>
          <w:sz w:val="22"/>
        </w:rPr>
      </w:pPr>
      <w:r w:rsidRPr="0077040A">
        <w:rPr>
          <w:sz w:val="22"/>
        </w:rPr>
        <w:t>Policy makers</w:t>
      </w:r>
    </w:p>
    <w:p w14:paraId="30F8EF57" w14:textId="0D74F71A" w:rsidR="00DC4876" w:rsidRPr="0077040A" w:rsidRDefault="00DC4876" w:rsidP="00DC4876">
      <w:pPr>
        <w:pStyle w:val="ListParagraph"/>
        <w:numPr>
          <w:ilvl w:val="0"/>
          <w:numId w:val="1"/>
        </w:numPr>
        <w:rPr>
          <w:sz w:val="22"/>
        </w:rPr>
      </w:pPr>
      <w:r w:rsidRPr="0077040A">
        <w:rPr>
          <w:sz w:val="22"/>
        </w:rPr>
        <w:t xml:space="preserve">Businesses </w:t>
      </w:r>
    </w:p>
    <w:p w14:paraId="5B38593D" w14:textId="4B377DD5" w:rsidR="00DC4876" w:rsidRPr="0077040A" w:rsidRDefault="00DC4876" w:rsidP="00DC4876">
      <w:pPr>
        <w:pStyle w:val="ListParagraph"/>
        <w:numPr>
          <w:ilvl w:val="0"/>
          <w:numId w:val="1"/>
        </w:numPr>
        <w:rPr>
          <w:sz w:val="22"/>
        </w:rPr>
      </w:pPr>
      <w:r w:rsidRPr="0077040A">
        <w:rPr>
          <w:sz w:val="22"/>
        </w:rPr>
        <w:t>Third sector organisations</w:t>
      </w:r>
    </w:p>
    <w:p w14:paraId="2AE32D52" w14:textId="2C79AA40" w:rsidR="00DC4876" w:rsidRPr="0077040A" w:rsidRDefault="00DC4876" w:rsidP="00DC4876">
      <w:pPr>
        <w:pStyle w:val="ListParagraph"/>
        <w:numPr>
          <w:ilvl w:val="0"/>
          <w:numId w:val="1"/>
        </w:numPr>
        <w:rPr>
          <w:sz w:val="22"/>
        </w:rPr>
      </w:pPr>
      <w:r w:rsidRPr="0077040A">
        <w:rPr>
          <w:sz w:val="22"/>
        </w:rPr>
        <w:t>Patients and potential patients</w:t>
      </w:r>
    </w:p>
    <w:p w14:paraId="5285351D" w14:textId="0691EEF4" w:rsidR="00DC4876" w:rsidRPr="0077040A" w:rsidRDefault="00DC4876" w:rsidP="00DC4876">
      <w:pPr>
        <w:pStyle w:val="ListParagraph"/>
        <w:numPr>
          <w:ilvl w:val="0"/>
          <w:numId w:val="1"/>
        </w:numPr>
        <w:rPr>
          <w:sz w:val="22"/>
        </w:rPr>
      </w:pPr>
      <w:r w:rsidRPr="0077040A">
        <w:rPr>
          <w:sz w:val="22"/>
        </w:rPr>
        <w:t xml:space="preserve">Informal carers </w:t>
      </w:r>
    </w:p>
    <w:p w14:paraId="2788B566" w14:textId="267255BF" w:rsidR="00DC4876" w:rsidRPr="0077040A" w:rsidRDefault="00DC4876" w:rsidP="00DC4876">
      <w:pPr>
        <w:pStyle w:val="ListParagraph"/>
        <w:numPr>
          <w:ilvl w:val="0"/>
          <w:numId w:val="1"/>
        </w:numPr>
        <w:rPr>
          <w:sz w:val="22"/>
        </w:rPr>
      </w:pPr>
      <w:r w:rsidRPr="0077040A">
        <w:rPr>
          <w:sz w:val="22"/>
        </w:rPr>
        <w:t xml:space="preserve">Parents or guardians </w:t>
      </w:r>
    </w:p>
    <w:p w14:paraId="0B50482C" w14:textId="649C1502" w:rsidR="00DC4876" w:rsidRPr="0077040A" w:rsidRDefault="00DC4876" w:rsidP="00DC4876">
      <w:pPr>
        <w:pStyle w:val="ListParagraph"/>
        <w:numPr>
          <w:ilvl w:val="0"/>
          <w:numId w:val="1"/>
        </w:numPr>
        <w:rPr>
          <w:sz w:val="22"/>
        </w:rPr>
      </w:pPr>
      <w:r w:rsidRPr="0077040A">
        <w:rPr>
          <w:sz w:val="22"/>
        </w:rPr>
        <w:t>Members of the public who have an interest in the research area</w:t>
      </w:r>
    </w:p>
    <w:p w14:paraId="0A6EBF0D" w14:textId="24707992" w:rsidR="00DC4876" w:rsidRPr="0077040A" w:rsidRDefault="00DC4876" w:rsidP="00DC4876">
      <w:pPr>
        <w:pStyle w:val="ListParagraph"/>
        <w:numPr>
          <w:ilvl w:val="0"/>
          <w:numId w:val="1"/>
        </w:numPr>
        <w:rPr>
          <w:sz w:val="22"/>
        </w:rPr>
      </w:pPr>
      <w:r w:rsidRPr="0077040A">
        <w:rPr>
          <w:sz w:val="22"/>
        </w:rPr>
        <w:t xml:space="preserve">Anyone the research could impact </w:t>
      </w:r>
    </w:p>
    <w:p w14:paraId="0976CEA6" w14:textId="77777777" w:rsidR="0077040A" w:rsidRPr="0077040A" w:rsidRDefault="0077040A" w:rsidP="0077040A">
      <w:pPr>
        <w:rPr>
          <w:szCs w:val="24"/>
        </w:rPr>
      </w:pPr>
    </w:p>
    <w:p w14:paraId="4B9221BF" w14:textId="3C495C86" w:rsidR="00DC4876" w:rsidRPr="0077040A" w:rsidRDefault="00DC4876" w:rsidP="00DC4876">
      <w:pPr>
        <w:rPr>
          <w:b/>
          <w:bCs/>
          <w:sz w:val="22"/>
        </w:rPr>
      </w:pPr>
      <w:r w:rsidRPr="0077040A">
        <w:rPr>
          <w:b/>
          <w:bCs/>
          <w:szCs w:val="24"/>
        </w:rPr>
        <w:t>Eligibility</w:t>
      </w:r>
    </w:p>
    <w:p w14:paraId="656F64EF" w14:textId="5076E25E" w:rsidR="00DC4876" w:rsidRPr="0077040A" w:rsidRDefault="00DC4876" w:rsidP="00DC4876">
      <w:pPr>
        <w:pStyle w:val="ListParagraph"/>
        <w:numPr>
          <w:ilvl w:val="0"/>
          <w:numId w:val="2"/>
        </w:numPr>
        <w:rPr>
          <w:sz w:val="22"/>
        </w:rPr>
      </w:pPr>
      <w:r w:rsidRPr="0077040A">
        <w:rPr>
          <w:sz w:val="22"/>
        </w:rPr>
        <w:t xml:space="preserve">The RDF is available to all researchers from all disciplines </w:t>
      </w:r>
    </w:p>
    <w:p w14:paraId="7BD70CD5" w14:textId="602F9801" w:rsidR="00DC4876" w:rsidRPr="0077040A" w:rsidRDefault="00DC4876" w:rsidP="00DC4876">
      <w:pPr>
        <w:pStyle w:val="ListParagraph"/>
        <w:numPr>
          <w:ilvl w:val="0"/>
          <w:numId w:val="2"/>
        </w:numPr>
        <w:rPr>
          <w:sz w:val="22"/>
        </w:rPr>
      </w:pPr>
      <w:r w:rsidRPr="0077040A">
        <w:rPr>
          <w:sz w:val="22"/>
        </w:rPr>
        <w:t>You must be an employee of the University of Leeds</w:t>
      </w:r>
    </w:p>
    <w:p w14:paraId="1CE738CE" w14:textId="620EC19D" w:rsidR="00DC4876" w:rsidRPr="0077040A" w:rsidRDefault="00DC4876" w:rsidP="00DC4876">
      <w:pPr>
        <w:pStyle w:val="ListParagraph"/>
        <w:numPr>
          <w:ilvl w:val="0"/>
          <w:numId w:val="2"/>
        </w:numPr>
        <w:rPr>
          <w:sz w:val="22"/>
        </w:rPr>
      </w:pPr>
      <w:r w:rsidRPr="0077040A">
        <w:rPr>
          <w:sz w:val="22"/>
        </w:rPr>
        <w:t xml:space="preserve">You must be able to demonstrate how the activity will lead to a grant application within nine months of receiving the funding </w:t>
      </w:r>
    </w:p>
    <w:p w14:paraId="1E61A770" w14:textId="77777777" w:rsidR="0077040A" w:rsidRPr="0077040A" w:rsidRDefault="0077040A" w:rsidP="0077040A">
      <w:pPr>
        <w:rPr>
          <w:szCs w:val="24"/>
        </w:rPr>
      </w:pPr>
    </w:p>
    <w:p w14:paraId="563F2799" w14:textId="3A3A7D5D" w:rsidR="00DC4876" w:rsidRPr="0077040A" w:rsidRDefault="00DC4876" w:rsidP="00DC4876">
      <w:pPr>
        <w:rPr>
          <w:b/>
          <w:bCs/>
          <w:szCs w:val="24"/>
        </w:rPr>
      </w:pPr>
      <w:r w:rsidRPr="0077040A">
        <w:rPr>
          <w:b/>
          <w:bCs/>
          <w:szCs w:val="24"/>
        </w:rPr>
        <w:t>How to use the award</w:t>
      </w:r>
    </w:p>
    <w:p w14:paraId="70E828E1" w14:textId="6F5EF8DF" w:rsidR="00DC4876" w:rsidRPr="0077040A" w:rsidRDefault="00DC4876" w:rsidP="00DC4876">
      <w:pPr>
        <w:rPr>
          <w:sz w:val="22"/>
        </w:rPr>
      </w:pPr>
      <w:r w:rsidRPr="0077040A">
        <w:rPr>
          <w:sz w:val="22"/>
        </w:rPr>
        <w:t>You can use the funds for activities that help develop and inform a research grant proposal with non-academic demographics. Examples of previous successful applications include:</w:t>
      </w:r>
    </w:p>
    <w:p w14:paraId="2227E3E8" w14:textId="2A4382F6" w:rsidR="00DC4876" w:rsidRPr="0077040A" w:rsidRDefault="00DC4876" w:rsidP="00DC4876">
      <w:pPr>
        <w:pStyle w:val="ListParagraph"/>
        <w:numPr>
          <w:ilvl w:val="0"/>
          <w:numId w:val="3"/>
        </w:numPr>
        <w:rPr>
          <w:sz w:val="22"/>
        </w:rPr>
      </w:pPr>
      <w:r w:rsidRPr="0077040A">
        <w:rPr>
          <w:sz w:val="22"/>
        </w:rPr>
        <w:t>Costs incurred from attendance at public facing events to meet stakeholders</w:t>
      </w:r>
    </w:p>
    <w:p w14:paraId="7B03D87A" w14:textId="7966DFD6" w:rsidR="00DC4876" w:rsidRPr="0077040A" w:rsidRDefault="00DC4876" w:rsidP="00DC4876">
      <w:pPr>
        <w:pStyle w:val="ListParagraph"/>
        <w:numPr>
          <w:ilvl w:val="0"/>
          <w:numId w:val="3"/>
        </w:numPr>
        <w:rPr>
          <w:sz w:val="22"/>
        </w:rPr>
      </w:pPr>
      <w:r w:rsidRPr="0077040A">
        <w:rPr>
          <w:sz w:val="22"/>
        </w:rPr>
        <w:t>Paying activity stakeholders for their time</w:t>
      </w:r>
    </w:p>
    <w:p w14:paraId="7AA5FB8A" w14:textId="282F96E3" w:rsidR="00DC4876" w:rsidRPr="0077040A" w:rsidRDefault="00DC4876" w:rsidP="00DC4876">
      <w:pPr>
        <w:pStyle w:val="ListParagraph"/>
        <w:numPr>
          <w:ilvl w:val="0"/>
          <w:numId w:val="3"/>
        </w:numPr>
        <w:rPr>
          <w:sz w:val="22"/>
        </w:rPr>
      </w:pPr>
      <w:r w:rsidRPr="0077040A">
        <w:rPr>
          <w:sz w:val="22"/>
        </w:rPr>
        <w:t>Rewarding members of the public for their involvement and engagement</w:t>
      </w:r>
    </w:p>
    <w:p w14:paraId="44BC5C9B" w14:textId="7CF86B6C" w:rsidR="00DC4876" w:rsidRPr="0077040A" w:rsidRDefault="00DC4876" w:rsidP="00DC4876">
      <w:pPr>
        <w:pStyle w:val="ListParagraph"/>
        <w:numPr>
          <w:ilvl w:val="0"/>
          <w:numId w:val="3"/>
        </w:numPr>
        <w:rPr>
          <w:sz w:val="22"/>
        </w:rPr>
      </w:pPr>
      <w:r w:rsidRPr="0077040A">
        <w:rPr>
          <w:sz w:val="22"/>
        </w:rPr>
        <w:t xml:space="preserve">Transport and catering </w:t>
      </w:r>
    </w:p>
    <w:p w14:paraId="613E08D1" w14:textId="1B120D79" w:rsidR="00DC4876" w:rsidRPr="0077040A" w:rsidRDefault="00DC4876" w:rsidP="00DC4876">
      <w:pPr>
        <w:pStyle w:val="ListParagraph"/>
        <w:numPr>
          <w:ilvl w:val="0"/>
          <w:numId w:val="3"/>
        </w:numPr>
        <w:rPr>
          <w:sz w:val="22"/>
        </w:rPr>
      </w:pPr>
      <w:r w:rsidRPr="0077040A">
        <w:rPr>
          <w:sz w:val="22"/>
        </w:rPr>
        <w:t>Event logistics and production costs</w:t>
      </w:r>
    </w:p>
    <w:p w14:paraId="1E9B9E78" w14:textId="6326F914" w:rsidR="00DC4876" w:rsidRPr="0077040A" w:rsidRDefault="00DC4876" w:rsidP="00DC4876">
      <w:pPr>
        <w:pStyle w:val="ListParagraph"/>
        <w:numPr>
          <w:ilvl w:val="0"/>
          <w:numId w:val="3"/>
        </w:numPr>
        <w:rPr>
          <w:sz w:val="22"/>
        </w:rPr>
      </w:pPr>
      <w:r w:rsidRPr="0077040A">
        <w:rPr>
          <w:sz w:val="22"/>
        </w:rPr>
        <w:t>Establishing a Patient and Public Involvement (PPI) forum</w:t>
      </w:r>
    </w:p>
    <w:p w14:paraId="6BA7F6A0" w14:textId="62B05355" w:rsidR="00DC4876" w:rsidRPr="0077040A" w:rsidRDefault="00DC4876" w:rsidP="00DC4876">
      <w:pPr>
        <w:rPr>
          <w:sz w:val="22"/>
        </w:rPr>
      </w:pPr>
      <w:r w:rsidRPr="0077040A">
        <w:rPr>
          <w:sz w:val="22"/>
        </w:rPr>
        <w:lastRenderedPageBreak/>
        <w:t xml:space="preserve">If you intend to establish an ongoing public involvement panel or group, you will have to outline how you will continue to support this group after the RDF activity. </w:t>
      </w:r>
    </w:p>
    <w:p w14:paraId="2179CFC7" w14:textId="15BB94AD" w:rsidR="00DC4876" w:rsidRDefault="00DC4876" w:rsidP="00DC4876">
      <w:pPr>
        <w:rPr>
          <w:szCs w:val="24"/>
        </w:rPr>
      </w:pPr>
    </w:p>
    <w:p w14:paraId="58435E54" w14:textId="4F8DFE08" w:rsidR="00440077" w:rsidRPr="0077040A" w:rsidRDefault="00440077" w:rsidP="00DC4876">
      <w:pPr>
        <w:rPr>
          <w:b/>
          <w:bCs/>
          <w:szCs w:val="24"/>
        </w:rPr>
      </w:pPr>
      <w:r w:rsidRPr="0077040A">
        <w:rPr>
          <w:b/>
          <w:bCs/>
          <w:szCs w:val="24"/>
        </w:rPr>
        <w:t>Application conditions</w:t>
      </w:r>
    </w:p>
    <w:p w14:paraId="15576149" w14:textId="4261ABDF" w:rsidR="00440077" w:rsidRPr="0077040A" w:rsidRDefault="00440077" w:rsidP="00440077">
      <w:pPr>
        <w:pStyle w:val="ListParagraph"/>
        <w:numPr>
          <w:ilvl w:val="0"/>
          <w:numId w:val="4"/>
        </w:numPr>
        <w:rPr>
          <w:sz w:val="22"/>
        </w:rPr>
      </w:pPr>
      <w:r w:rsidRPr="0077040A">
        <w:rPr>
          <w:sz w:val="22"/>
        </w:rPr>
        <w:t>RDF awards are available three times a year</w:t>
      </w:r>
      <w:r w:rsidR="0077040A">
        <w:rPr>
          <w:sz w:val="22"/>
        </w:rPr>
        <w:t>.</w:t>
      </w:r>
    </w:p>
    <w:p w14:paraId="7699CB99" w14:textId="06B8064E" w:rsidR="00440077" w:rsidRPr="0077040A" w:rsidRDefault="00440077" w:rsidP="00440077">
      <w:pPr>
        <w:pStyle w:val="ListParagraph"/>
        <w:numPr>
          <w:ilvl w:val="0"/>
          <w:numId w:val="4"/>
        </w:numPr>
        <w:rPr>
          <w:sz w:val="22"/>
        </w:rPr>
      </w:pPr>
      <w:r w:rsidRPr="0077040A">
        <w:rPr>
          <w:sz w:val="22"/>
        </w:rPr>
        <w:t xml:space="preserve">Funds will only be transferred in arrears after the activity has taken place. We endeavour to make funds available for successful applicants within the four weeks after the deadline, though this is not guaranteed. </w:t>
      </w:r>
    </w:p>
    <w:p w14:paraId="5CD6975B" w14:textId="1B252BBE" w:rsidR="00440077" w:rsidRPr="0077040A" w:rsidRDefault="00440077" w:rsidP="00440077">
      <w:pPr>
        <w:pStyle w:val="ListParagraph"/>
        <w:numPr>
          <w:ilvl w:val="0"/>
          <w:numId w:val="4"/>
        </w:numPr>
        <w:rPr>
          <w:sz w:val="22"/>
        </w:rPr>
      </w:pPr>
      <w:r w:rsidRPr="0077040A">
        <w:rPr>
          <w:sz w:val="22"/>
        </w:rPr>
        <w:t xml:space="preserve">The RDF does not support retrospective activities </w:t>
      </w:r>
    </w:p>
    <w:p w14:paraId="7C0BC700" w14:textId="56BFA1E7" w:rsidR="00440077" w:rsidRPr="0077040A" w:rsidRDefault="00440077" w:rsidP="00440077">
      <w:pPr>
        <w:pStyle w:val="ListParagraph"/>
        <w:numPr>
          <w:ilvl w:val="0"/>
          <w:numId w:val="4"/>
        </w:numPr>
        <w:rPr>
          <w:sz w:val="22"/>
        </w:rPr>
      </w:pPr>
      <w:r w:rsidRPr="0077040A">
        <w:rPr>
          <w:sz w:val="22"/>
        </w:rPr>
        <w:t xml:space="preserve">The maximum grant that is available is £600 per application. The requested funding should be fully justified and itemised, in line with the University financial procedures. Please see below for more information. </w:t>
      </w:r>
    </w:p>
    <w:p w14:paraId="10B30A1D" w14:textId="30EF713B" w:rsidR="00440077" w:rsidRPr="0077040A" w:rsidRDefault="00440077" w:rsidP="00440077">
      <w:pPr>
        <w:pStyle w:val="ListParagraph"/>
        <w:numPr>
          <w:ilvl w:val="0"/>
          <w:numId w:val="4"/>
        </w:numPr>
        <w:rPr>
          <w:sz w:val="22"/>
        </w:rPr>
      </w:pPr>
      <w:r w:rsidRPr="0077040A">
        <w:rPr>
          <w:sz w:val="22"/>
        </w:rPr>
        <w:t>All applications should demonstrate that the funds will be used to develop one or more research grant applications to a national or international, peer-reviewed funding competition.</w:t>
      </w:r>
    </w:p>
    <w:p w14:paraId="6CD7A000" w14:textId="63257F54" w:rsidR="00440077" w:rsidRPr="0077040A" w:rsidRDefault="00440077" w:rsidP="00440077">
      <w:pPr>
        <w:pStyle w:val="ListParagraph"/>
        <w:numPr>
          <w:ilvl w:val="0"/>
          <w:numId w:val="4"/>
        </w:numPr>
        <w:rPr>
          <w:sz w:val="22"/>
        </w:rPr>
      </w:pPr>
      <w:r w:rsidRPr="0077040A">
        <w:rPr>
          <w:sz w:val="22"/>
        </w:rPr>
        <w:t xml:space="preserve">If funds have not been claimed by you within the nine months of the award being made, you will lose the award. Extensions of up to three months can be negotiated if you contact us in good time. If funds are still not claimed after any granted extension, the award will expire. </w:t>
      </w:r>
    </w:p>
    <w:p w14:paraId="3092A676" w14:textId="3F8B913F" w:rsidR="00440077" w:rsidRPr="0077040A" w:rsidRDefault="00440077" w:rsidP="00440077">
      <w:pPr>
        <w:pStyle w:val="ListParagraph"/>
        <w:numPr>
          <w:ilvl w:val="0"/>
          <w:numId w:val="4"/>
        </w:numPr>
        <w:rPr>
          <w:sz w:val="22"/>
        </w:rPr>
      </w:pPr>
      <w:r w:rsidRPr="0077040A">
        <w:rPr>
          <w:sz w:val="22"/>
        </w:rPr>
        <w:t xml:space="preserve">Good practice guidelines on public involvement in research should be followed and activities should be appropriate for the specific demographic. </w:t>
      </w:r>
      <w:hyperlink r:id="rId10" w:history="1">
        <w:r w:rsidR="0077040A">
          <w:rPr>
            <w:rStyle w:val="Hyperlink"/>
            <w:sz w:val="22"/>
          </w:rPr>
          <w:t xml:space="preserve">Visit this website </w:t>
        </w:r>
        <w:r w:rsidRPr="0077040A">
          <w:rPr>
            <w:rStyle w:val="Hyperlink"/>
            <w:sz w:val="22"/>
          </w:rPr>
          <w:t>for more information</w:t>
        </w:r>
      </w:hyperlink>
      <w:r w:rsidR="0077040A">
        <w:rPr>
          <w:sz w:val="22"/>
        </w:rPr>
        <w:t>.</w:t>
      </w:r>
    </w:p>
    <w:p w14:paraId="551274F4" w14:textId="685001C4" w:rsidR="00440077" w:rsidRPr="0077040A" w:rsidRDefault="00440077" w:rsidP="00440077">
      <w:pPr>
        <w:pStyle w:val="ListParagraph"/>
        <w:numPr>
          <w:ilvl w:val="0"/>
          <w:numId w:val="4"/>
        </w:numPr>
        <w:rPr>
          <w:sz w:val="22"/>
        </w:rPr>
      </w:pPr>
      <w:r w:rsidRPr="0077040A">
        <w:rPr>
          <w:sz w:val="22"/>
        </w:rPr>
        <w:t>Only one award will be made for any single research proposal in development</w:t>
      </w:r>
      <w:r w:rsidR="0077040A">
        <w:rPr>
          <w:sz w:val="22"/>
        </w:rPr>
        <w:t>.</w:t>
      </w:r>
      <w:r w:rsidRPr="0077040A">
        <w:rPr>
          <w:sz w:val="22"/>
        </w:rPr>
        <w:t xml:space="preserve"> </w:t>
      </w:r>
    </w:p>
    <w:p w14:paraId="240C9355" w14:textId="4DCEDD9E" w:rsidR="00440077" w:rsidRPr="0077040A" w:rsidRDefault="00440077" w:rsidP="00440077">
      <w:pPr>
        <w:pStyle w:val="ListParagraph"/>
        <w:numPr>
          <w:ilvl w:val="0"/>
          <w:numId w:val="4"/>
        </w:numPr>
        <w:rPr>
          <w:sz w:val="22"/>
        </w:rPr>
      </w:pPr>
      <w:r w:rsidRPr="0077040A">
        <w:rPr>
          <w:sz w:val="22"/>
        </w:rPr>
        <w:t xml:space="preserve">All application are reviewed by the Public Engagement Team, academic staff, and professional staff from the University with experience of engagement and involvement work. </w:t>
      </w:r>
    </w:p>
    <w:p w14:paraId="1418E2BF" w14:textId="39A907D5" w:rsidR="00440077" w:rsidRPr="0077040A" w:rsidRDefault="00440077" w:rsidP="00440077">
      <w:pPr>
        <w:pStyle w:val="ListParagraph"/>
        <w:numPr>
          <w:ilvl w:val="0"/>
          <w:numId w:val="4"/>
        </w:numPr>
        <w:rPr>
          <w:sz w:val="22"/>
        </w:rPr>
      </w:pPr>
      <w:r w:rsidRPr="0077040A">
        <w:rPr>
          <w:sz w:val="22"/>
        </w:rPr>
        <w:t>Applicants applying for</w:t>
      </w:r>
      <w:r w:rsidR="00B8283F" w:rsidRPr="0077040A">
        <w:rPr>
          <w:sz w:val="22"/>
        </w:rPr>
        <w:t xml:space="preserve"> the RDF should not submit a simultaneous application for the </w:t>
      </w:r>
      <w:hyperlink r:id="rId11" w:history="1">
        <w:r w:rsidR="00B8283F" w:rsidRPr="0077040A">
          <w:rPr>
            <w:rStyle w:val="Hyperlink"/>
            <w:sz w:val="22"/>
          </w:rPr>
          <w:t xml:space="preserve">Research Design Service, Yorkshire and Humber </w:t>
        </w:r>
      </w:hyperlink>
    </w:p>
    <w:p w14:paraId="3E5665A4" w14:textId="249E3AA4" w:rsidR="00B8283F" w:rsidRPr="0077040A" w:rsidRDefault="00B8283F" w:rsidP="00B8283F">
      <w:pPr>
        <w:pStyle w:val="ListParagraph"/>
        <w:numPr>
          <w:ilvl w:val="0"/>
          <w:numId w:val="5"/>
        </w:numPr>
        <w:rPr>
          <w:rFonts w:cs="Arial"/>
          <w:sz w:val="22"/>
          <w:szCs w:val="20"/>
        </w:rPr>
      </w:pPr>
      <w:r w:rsidRPr="0077040A">
        <w:rPr>
          <w:sz w:val="22"/>
        </w:rPr>
        <w:t xml:space="preserve">All applications should be submitted via email to </w:t>
      </w:r>
      <w:hyperlink r:id="rId12" w:history="1">
        <w:r w:rsidRPr="0077040A">
          <w:rPr>
            <w:rStyle w:val="Hyperlink"/>
            <w:sz w:val="22"/>
          </w:rPr>
          <w:t>peteam@leeds.ac.uk</w:t>
        </w:r>
      </w:hyperlink>
      <w:r w:rsidRPr="0077040A">
        <w:rPr>
          <w:sz w:val="22"/>
        </w:rPr>
        <w:t xml:space="preserve"> using </w:t>
      </w:r>
      <w:r w:rsidRPr="0077040A">
        <w:rPr>
          <w:rFonts w:cs="Arial"/>
          <w:sz w:val="22"/>
          <w:szCs w:val="20"/>
        </w:rPr>
        <w:t>use ‘Research Development Fund – YOUR NAME’ in the email subject</w:t>
      </w:r>
      <w:r w:rsidR="0077040A">
        <w:rPr>
          <w:rFonts w:cs="Arial"/>
          <w:sz w:val="22"/>
          <w:szCs w:val="20"/>
        </w:rPr>
        <w:t>.</w:t>
      </w:r>
    </w:p>
    <w:p w14:paraId="35983233" w14:textId="24F3A8EF" w:rsidR="00B8283F" w:rsidRPr="0077040A" w:rsidRDefault="00B8283F" w:rsidP="00B8283F">
      <w:pPr>
        <w:pStyle w:val="ListParagraph"/>
        <w:numPr>
          <w:ilvl w:val="0"/>
          <w:numId w:val="5"/>
        </w:numPr>
        <w:rPr>
          <w:rFonts w:cs="Arial"/>
          <w:sz w:val="22"/>
          <w:szCs w:val="20"/>
        </w:rPr>
      </w:pPr>
      <w:r w:rsidRPr="0077040A">
        <w:rPr>
          <w:rFonts w:cs="Arial"/>
          <w:sz w:val="22"/>
          <w:szCs w:val="20"/>
        </w:rPr>
        <w:t>Unsuccessful applicants are welcome to resubmit a revised version at the next call.</w:t>
      </w:r>
    </w:p>
    <w:p w14:paraId="32A493A5" w14:textId="1F6894FF" w:rsidR="00B8283F" w:rsidRDefault="00B8283F" w:rsidP="00B8283F">
      <w:pPr>
        <w:rPr>
          <w:rFonts w:cs="Arial"/>
        </w:rPr>
      </w:pPr>
    </w:p>
    <w:p w14:paraId="0A28CCC3" w14:textId="3442FFA8" w:rsidR="00B8283F" w:rsidRPr="003D25E7" w:rsidRDefault="00B8283F" w:rsidP="00B8283F">
      <w:pPr>
        <w:rPr>
          <w:rFonts w:cs="Arial"/>
          <w:b/>
          <w:bCs/>
        </w:rPr>
      </w:pPr>
      <w:r w:rsidRPr="003D25E7">
        <w:rPr>
          <w:rFonts w:cs="Arial"/>
          <w:b/>
          <w:bCs/>
        </w:rPr>
        <w:t>Suggested payments</w:t>
      </w:r>
    </w:p>
    <w:p w14:paraId="09569BDD" w14:textId="4A012B9C" w:rsidR="00B8283F" w:rsidRPr="003D25E7" w:rsidRDefault="00B8283F" w:rsidP="00B8283F">
      <w:pPr>
        <w:rPr>
          <w:rFonts w:cs="Arial"/>
          <w:sz w:val="22"/>
          <w:szCs w:val="20"/>
        </w:rPr>
      </w:pPr>
      <w:r w:rsidRPr="003D25E7">
        <w:rPr>
          <w:rFonts w:cs="Arial"/>
          <w:sz w:val="22"/>
          <w:szCs w:val="20"/>
        </w:rPr>
        <w:t xml:space="preserve">In your application provide a breakdown, together with costings, of how the funding will be spent. </w:t>
      </w:r>
    </w:p>
    <w:p w14:paraId="632AD84C" w14:textId="77777777" w:rsidR="00B8283F" w:rsidRPr="003D25E7" w:rsidRDefault="00B8283F" w:rsidP="00B8283F">
      <w:pPr>
        <w:spacing w:line="276" w:lineRule="auto"/>
        <w:rPr>
          <w:sz w:val="22"/>
          <w:szCs w:val="20"/>
        </w:rPr>
      </w:pPr>
      <w:r w:rsidRPr="003D25E7">
        <w:rPr>
          <w:sz w:val="22"/>
          <w:szCs w:val="20"/>
        </w:rPr>
        <w:t xml:space="preserve">The University of Leeds is in the process of standardising payments for involvement of patients, carers and members of the public. To make sure possible participants are not adversely affected by HMRC rules that would affect their benefits (if they are receiving these), we would like you to follow EIM71105 compliant payment routes and amounts as follows: </w:t>
      </w:r>
    </w:p>
    <w:tbl>
      <w:tblPr>
        <w:tblStyle w:val="TableGrid"/>
        <w:tblW w:w="0" w:type="auto"/>
        <w:tblLook w:val="04A0" w:firstRow="1" w:lastRow="0" w:firstColumn="1" w:lastColumn="0" w:noHBand="0" w:noVBand="1"/>
        <w:tblCaption w:val="Recommended payments"/>
        <w:tblDescription w:val="Table detailing recommended standardised payments for involvement of patients, carers and members of the public in research development. To receive this in full or in an alternative format, please email peteam@leeds.ac.uk"/>
      </w:tblPr>
      <w:tblGrid>
        <w:gridCol w:w="1892"/>
        <w:gridCol w:w="1818"/>
        <w:gridCol w:w="1877"/>
        <w:gridCol w:w="1711"/>
        <w:gridCol w:w="1718"/>
      </w:tblGrid>
      <w:tr w:rsidR="00EA3805" w:rsidRPr="00EA3805" w14:paraId="6748AFED" w14:textId="77777777" w:rsidTr="001E4872">
        <w:trPr>
          <w:tblHeader/>
        </w:trPr>
        <w:tc>
          <w:tcPr>
            <w:tcW w:w="1920" w:type="dxa"/>
          </w:tcPr>
          <w:p w14:paraId="3DFAB3A0" w14:textId="77777777" w:rsidR="00B8283F" w:rsidRPr="00EA3805" w:rsidRDefault="00B8283F" w:rsidP="001E4872">
            <w:pPr>
              <w:pStyle w:val="Heading4"/>
              <w:outlineLvl w:val="3"/>
              <w:rPr>
                <w:rFonts w:ascii="Arial" w:hAnsi="Arial" w:cs="Arial"/>
                <w:color w:val="auto"/>
              </w:rPr>
            </w:pPr>
            <w:r w:rsidRPr="00EA3805">
              <w:rPr>
                <w:rFonts w:ascii="Arial" w:hAnsi="Arial" w:cs="Arial"/>
                <w:color w:val="auto"/>
              </w:rPr>
              <w:t>Category</w:t>
            </w:r>
          </w:p>
        </w:tc>
        <w:tc>
          <w:tcPr>
            <w:tcW w:w="1920" w:type="dxa"/>
          </w:tcPr>
          <w:p w14:paraId="55C9D3C5" w14:textId="77777777" w:rsidR="00B8283F" w:rsidRPr="00EA3805" w:rsidRDefault="00B8283F" w:rsidP="001E4872">
            <w:pPr>
              <w:pStyle w:val="Heading4"/>
              <w:outlineLvl w:val="3"/>
              <w:rPr>
                <w:rFonts w:ascii="Arial" w:hAnsi="Arial" w:cs="Arial"/>
                <w:color w:val="auto"/>
              </w:rPr>
            </w:pPr>
            <w:r w:rsidRPr="00EA3805">
              <w:rPr>
                <w:rFonts w:ascii="Arial" w:hAnsi="Arial" w:cs="Arial"/>
                <w:color w:val="auto"/>
              </w:rPr>
              <w:t>Examples</w:t>
            </w:r>
          </w:p>
        </w:tc>
        <w:tc>
          <w:tcPr>
            <w:tcW w:w="1920" w:type="dxa"/>
          </w:tcPr>
          <w:p w14:paraId="3ACE13D1" w14:textId="77777777" w:rsidR="00B8283F" w:rsidRPr="00EA3805" w:rsidRDefault="00B8283F" w:rsidP="001E4872">
            <w:pPr>
              <w:pStyle w:val="Heading4"/>
              <w:outlineLvl w:val="3"/>
              <w:rPr>
                <w:rFonts w:ascii="Arial" w:hAnsi="Arial" w:cs="Arial"/>
                <w:color w:val="auto"/>
              </w:rPr>
            </w:pPr>
            <w:r w:rsidRPr="00EA3805">
              <w:rPr>
                <w:rFonts w:ascii="Arial" w:hAnsi="Arial" w:cs="Arial"/>
                <w:color w:val="auto"/>
              </w:rPr>
              <w:t>Reimbursement includes</w:t>
            </w:r>
          </w:p>
        </w:tc>
        <w:tc>
          <w:tcPr>
            <w:tcW w:w="1921" w:type="dxa"/>
          </w:tcPr>
          <w:p w14:paraId="0EDB1E4F" w14:textId="77777777" w:rsidR="00B8283F" w:rsidRPr="00EA3805" w:rsidRDefault="00B8283F" w:rsidP="001E4872">
            <w:pPr>
              <w:pStyle w:val="Heading4"/>
              <w:outlineLvl w:val="3"/>
              <w:rPr>
                <w:rFonts w:ascii="Arial" w:hAnsi="Arial" w:cs="Arial"/>
                <w:color w:val="auto"/>
              </w:rPr>
            </w:pPr>
            <w:r w:rsidRPr="00EA3805">
              <w:rPr>
                <w:rFonts w:ascii="Arial" w:hAnsi="Arial" w:cs="Arial"/>
                <w:color w:val="auto"/>
              </w:rPr>
              <w:t>Maximum Fee £</w:t>
            </w:r>
          </w:p>
        </w:tc>
        <w:tc>
          <w:tcPr>
            <w:tcW w:w="1921" w:type="dxa"/>
          </w:tcPr>
          <w:p w14:paraId="072666F6" w14:textId="77777777" w:rsidR="00B8283F" w:rsidRPr="00EA3805" w:rsidRDefault="00B8283F" w:rsidP="001E4872">
            <w:pPr>
              <w:pStyle w:val="Heading4"/>
              <w:outlineLvl w:val="3"/>
              <w:rPr>
                <w:rFonts w:ascii="Arial" w:hAnsi="Arial" w:cs="Arial"/>
                <w:color w:val="auto"/>
              </w:rPr>
            </w:pPr>
            <w:r w:rsidRPr="00EA3805">
              <w:rPr>
                <w:rFonts w:ascii="Arial" w:hAnsi="Arial" w:cs="Arial"/>
                <w:color w:val="auto"/>
              </w:rPr>
              <w:t>Payment route</w:t>
            </w:r>
          </w:p>
        </w:tc>
      </w:tr>
      <w:tr w:rsidR="00B8283F" w:rsidRPr="00EA3805" w14:paraId="206AEDB8" w14:textId="77777777" w:rsidTr="001E4872">
        <w:tc>
          <w:tcPr>
            <w:tcW w:w="1920" w:type="dxa"/>
          </w:tcPr>
          <w:p w14:paraId="6A91F8A7" w14:textId="77777777" w:rsidR="00B8283F" w:rsidRPr="00EA3805" w:rsidRDefault="00B8283F" w:rsidP="001E4872">
            <w:pPr>
              <w:spacing w:line="276" w:lineRule="auto"/>
              <w:rPr>
                <w:rFonts w:ascii="Arial" w:hAnsi="Arial" w:cs="Arial"/>
              </w:rPr>
            </w:pPr>
            <w:r w:rsidRPr="00EA3805">
              <w:rPr>
                <w:rFonts w:ascii="Arial" w:hAnsi="Arial" w:cs="Arial"/>
              </w:rPr>
              <w:t>Attendance at one-off public meetings/events</w:t>
            </w:r>
          </w:p>
        </w:tc>
        <w:tc>
          <w:tcPr>
            <w:tcW w:w="1920" w:type="dxa"/>
          </w:tcPr>
          <w:p w14:paraId="7CFD0B89" w14:textId="77777777" w:rsidR="00B8283F" w:rsidRPr="00EA3805" w:rsidRDefault="00B8283F" w:rsidP="001E4872">
            <w:pPr>
              <w:spacing w:line="276" w:lineRule="auto"/>
              <w:rPr>
                <w:rFonts w:ascii="Arial" w:hAnsi="Arial" w:cs="Arial"/>
              </w:rPr>
            </w:pPr>
            <w:r w:rsidRPr="00EA3805">
              <w:rPr>
                <w:rFonts w:ascii="Arial" w:hAnsi="Arial" w:cs="Arial"/>
              </w:rPr>
              <w:t>An open meeting where patients can submit and discuss research ideas related to a particular condition</w:t>
            </w:r>
          </w:p>
          <w:p w14:paraId="12B0840D" w14:textId="77777777" w:rsidR="00B8283F" w:rsidRPr="00EA3805" w:rsidRDefault="00B8283F" w:rsidP="001E4872">
            <w:pPr>
              <w:spacing w:line="276" w:lineRule="auto"/>
              <w:rPr>
                <w:rFonts w:ascii="Arial" w:hAnsi="Arial" w:cs="Arial"/>
              </w:rPr>
            </w:pPr>
            <w:r w:rsidRPr="00EA3805">
              <w:rPr>
                <w:rFonts w:ascii="Arial" w:hAnsi="Arial" w:cs="Arial"/>
              </w:rPr>
              <w:t>Public research dissemination event</w:t>
            </w:r>
          </w:p>
          <w:p w14:paraId="18C6B52D" w14:textId="77777777" w:rsidR="00B8283F" w:rsidRPr="00EA3805" w:rsidRDefault="00B8283F" w:rsidP="001E4872">
            <w:pPr>
              <w:spacing w:line="276" w:lineRule="auto"/>
              <w:rPr>
                <w:rFonts w:ascii="Arial" w:hAnsi="Arial" w:cs="Arial"/>
              </w:rPr>
            </w:pPr>
            <w:r w:rsidRPr="00EA3805">
              <w:rPr>
                <w:rFonts w:ascii="Arial" w:hAnsi="Arial" w:cs="Arial"/>
              </w:rPr>
              <w:t>An open day for a public involvement in research group</w:t>
            </w:r>
          </w:p>
        </w:tc>
        <w:tc>
          <w:tcPr>
            <w:tcW w:w="1920" w:type="dxa"/>
          </w:tcPr>
          <w:p w14:paraId="1A2139A5" w14:textId="77777777" w:rsidR="00B8283F" w:rsidRPr="00EA3805" w:rsidRDefault="00B8283F" w:rsidP="001E4872">
            <w:pPr>
              <w:spacing w:line="276" w:lineRule="auto"/>
              <w:rPr>
                <w:rFonts w:ascii="Arial" w:hAnsi="Arial" w:cs="Arial"/>
              </w:rPr>
            </w:pPr>
            <w:r w:rsidRPr="00EA3805">
              <w:rPr>
                <w:rFonts w:ascii="Arial" w:hAnsi="Arial" w:cs="Arial"/>
              </w:rPr>
              <w:t>Time spent on activity and traveling</w:t>
            </w:r>
          </w:p>
          <w:p w14:paraId="07AD2E8F" w14:textId="77777777" w:rsidR="00B8283F" w:rsidRPr="00EA3805" w:rsidRDefault="00B8283F" w:rsidP="001E4872">
            <w:pPr>
              <w:spacing w:line="276" w:lineRule="auto"/>
              <w:rPr>
                <w:rFonts w:ascii="Arial" w:hAnsi="Arial" w:cs="Arial"/>
              </w:rPr>
            </w:pPr>
            <w:r w:rsidRPr="00EA3805">
              <w:rPr>
                <w:rFonts w:ascii="Arial" w:hAnsi="Arial" w:cs="Arial"/>
              </w:rPr>
              <w:t>Out of pocket expenses</w:t>
            </w:r>
          </w:p>
          <w:p w14:paraId="19DFDF98" w14:textId="77777777" w:rsidR="00B8283F" w:rsidRPr="00EA3805" w:rsidRDefault="00B8283F" w:rsidP="001E4872">
            <w:pPr>
              <w:spacing w:line="276" w:lineRule="auto"/>
              <w:rPr>
                <w:rFonts w:ascii="Arial" w:hAnsi="Arial" w:cs="Arial"/>
              </w:rPr>
            </w:pPr>
            <w:r w:rsidRPr="00EA3805">
              <w:rPr>
                <w:rFonts w:ascii="Arial" w:hAnsi="Arial" w:cs="Arial"/>
              </w:rPr>
              <w:t>This kind of activity is unlikely to require any preparation by the members of the public</w:t>
            </w:r>
          </w:p>
        </w:tc>
        <w:tc>
          <w:tcPr>
            <w:tcW w:w="1921" w:type="dxa"/>
          </w:tcPr>
          <w:p w14:paraId="3C91942C" w14:textId="77777777" w:rsidR="00B8283F" w:rsidRPr="00EA3805" w:rsidRDefault="00B8283F" w:rsidP="001E4872">
            <w:pPr>
              <w:spacing w:line="276" w:lineRule="auto"/>
              <w:rPr>
                <w:rFonts w:ascii="Arial" w:hAnsi="Arial" w:cs="Arial"/>
              </w:rPr>
            </w:pPr>
            <w:r w:rsidRPr="00EA3805">
              <w:rPr>
                <w:rFonts w:ascii="Arial" w:hAnsi="Arial" w:cs="Arial"/>
              </w:rPr>
              <w:t>£30</w:t>
            </w:r>
          </w:p>
          <w:p w14:paraId="37EE408A" w14:textId="77777777" w:rsidR="00B8283F" w:rsidRPr="00EA3805" w:rsidRDefault="00B8283F" w:rsidP="001E4872">
            <w:pPr>
              <w:spacing w:line="276" w:lineRule="auto"/>
              <w:rPr>
                <w:rFonts w:ascii="Arial" w:hAnsi="Arial" w:cs="Arial"/>
              </w:rPr>
            </w:pPr>
            <w:r w:rsidRPr="00EA3805">
              <w:rPr>
                <w:rFonts w:ascii="Arial" w:hAnsi="Arial" w:cs="Arial"/>
              </w:rPr>
              <w:t>Out of pocket Expenses are not paid on top</w:t>
            </w:r>
          </w:p>
        </w:tc>
        <w:tc>
          <w:tcPr>
            <w:tcW w:w="1921" w:type="dxa"/>
          </w:tcPr>
          <w:p w14:paraId="4A2EBED5" w14:textId="77777777" w:rsidR="00B8283F" w:rsidRPr="00EA3805" w:rsidRDefault="00B8283F" w:rsidP="001E4872">
            <w:pPr>
              <w:spacing w:line="276" w:lineRule="auto"/>
              <w:rPr>
                <w:rFonts w:ascii="Arial" w:hAnsi="Arial" w:cs="Arial"/>
              </w:rPr>
            </w:pPr>
            <w:r w:rsidRPr="00EA3805">
              <w:rPr>
                <w:rFonts w:ascii="Arial" w:hAnsi="Arial" w:cs="Arial"/>
              </w:rPr>
              <w:t xml:space="preserve">A - Cash or Vouchers. </w:t>
            </w:r>
          </w:p>
          <w:p w14:paraId="7E5BBCE7" w14:textId="77777777" w:rsidR="00B8283F" w:rsidRPr="00EA3805" w:rsidRDefault="00B8283F" w:rsidP="001E4872">
            <w:pPr>
              <w:spacing w:line="276" w:lineRule="auto"/>
              <w:rPr>
                <w:rFonts w:ascii="Arial" w:hAnsi="Arial" w:cs="Arial"/>
              </w:rPr>
            </w:pPr>
            <w:r w:rsidRPr="00EA3805">
              <w:rPr>
                <w:rFonts w:ascii="Arial" w:hAnsi="Arial" w:cs="Arial"/>
              </w:rPr>
              <w:t xml:space="preserve">B – BACs payment via IR35 Exempt form. </w:t>
            </w:r>
          </w:p>
        </w:tc>
      </w:tr>
      <w:tr w:rsidR="00B8283F" w:rsidRPr="00EA3805" w14:paraId="4B24AC81" w14:textId="77777777" w:rsidTr="001E4872">
        <w:tc>
          <w:tcPr>
            <w:tcW w:w="1920" w:type="dxa"/>
          </w:tcPr>
          <w:p w14:paraId="412E72CD" w14:textId="77777777" w:rsidR="00B8283F" w:rsidRPr="00EA3805" w:rsidRDefault="00B8283F" w:rsidP="001E4872">
            <w:pPr>
              <w:spacing w:line="276" w:lineRule="auto"/>
              <w:rPr>
                <w:rFonts w:ascii="Arial" w:hAnsi="Arial" w:cs="Arial"/>
              </w:rPr>
            </w:pPr>
            <w:r w:rsidRPr="00EA3805">
              <w:rPr>
                <w:rFonts w:ascii="Arial" w:hAnsi="Arial" w:cs="Arial"/>
              </w:rPr>
              <w:t>Reviewing documents from home</w:t>
            </w:r>
          </w:p>
        </w:tc>
        <w:tc>
          <w:tcPr>
            <w:tcW w:w="1920" w:type="dxa"/>
          </w:tcPr>
          <w:p w14:paraId="2DF6FCD6" w14:textId="77777777" w:rsidR="00B8283F" w:rsidRPr="00EA3805" w:rsidRDefault="00B8283F" w:rsidP="001E4872">
            <w:pPr>
              <w:spacing w:line="276" w:lineRule="auto"/>
              <w:rPr>
                <w:rFonts w:ascii="Arial" w:hAnsi="Arial" w:cs="Arial"/>
              </w:rPr>
            </w:pPr>
            <w:r w:rsidRPr="00EA3805">
              <w:rPr>
                <w:rFonts w:ascii="Arial" w:hAnsi="Arial" w:cs="Arial"/>
              </w:rPr>
              <w:t>Reading and commenting on:</w:t>
            </w:r>
          </w:p>
          <w:p w14:paraId="774E79D3" w14:textId="77777777" w:rsidR="00B8283F" w:rsidRPr="00EA3805" w:rsidRDefault="00B8283F" w:rsidP="001E4872">
            <w:pPr>
              <w:spacing w:line="276" w:lineRule="auto"/>
              <w:rPr>
                <w:rFonts w:ascii="Arial" w:hAnsi="Arial" w:cs="Arial"/>
              </w:rPr>
            </w:pPr>
            <w:r w:rsidRPr="00EA3805">
              <w:rPr>
                <w:rFonts w:ascii="Arial" w:hAnsi="Arial" w:cs="Arial"/>
              </w:rPr>
              <w:t>Drafts of participant information</w:t>
            </w:r>
          </w:p>
          <w:p w14:paraId="18A49CEC" w14:textId="77777777" w:rsidR="00B8283F" w:rsidRPr="00EA3805" w:rsidRDefault="00B8283F" w:rsidP="001E4872">
            <w:pPr>
              <w:spacing w:line="276" w:lineRule="auto"/>
              <w:rPr>
                <w:rFonts w:ascii="Arial" w:hAnsi="Arial" w:cs="Arial"/>
              </w:rPr>
            </w:pPr>
            <w:r w:rsidRPr="00EA3805">
              <w:rPr>
                <w:rFonts w:ascii="Arial" w:hAnsi="Arial" w:cs="Arial"/>
              </w:rPr>
              <w:t>Research summaries</w:t>
            </w:r>
          </w:p>
          <w:p w14:paraId="7E24DA94" w14:textId="77777777" w:rsidR="00B8283F" w:rsidRPr="00EA3805" w:rsidRDefault="00B8283F" w:rsidP="001E4872">
            <w:pPr>
              <w:spacing w:line="276" w:lineRule="auto"/>
              <w:rPr>
                <w:rFonts w:ascii="Arial" w:hAnsi="Arial" w:cs="Arial"/>
              </w:rPr>
            </w:pPr>
            <w:r w:rsidRPr="00EA3805">
              <w:rPr>
                <w:rFonts w:ascii="Arial" w:hAnsi="Arial" w:cs="Arial"/>
              </w:rPr>
              <w:t>Sections of grant applications</w:t>
            </w:r>
          </w:p>
        </w:tc>
        <w:tc>
          <w:tcPr>
            <w:tcW w:w="1920" w:type="dxa"/>
          </w:tcPr>
          <w:p w14:paraId="66E25F97" w14:textId="77777777" w:rsidR="00B8283F" w:rsidRPr="00EA3805" w:rsidRDefault="00B8283F" w:rsidP="001E4872">
            <w:pPr>
              <w:spacing w:line="276" w:lineRule="auto"/>
              <w:rPr>
                <w:rFonts w:ascii="Arial" w:hAnsi="Arial" w:cs="Arial"/>
              </w:rPr>
            </w:pPr>
            <w:r w:rsidRPr="00EA3805">
              <w:rPr>
                <w:rFonts w:ascii="Arial" w:hAnsi="Arial" w:cs="Arial"/>
              </w:rPr>
              <w:t>Time spent reviewing documents and providing comments</w:t>
            </w:r>
          </w:p>
          <w:p w14:paraId="157A1F91" w14:textId="77777777" w:rsidR="00B8283F" w:rsidRPr="00EA3805" w:rsidRDefault="00B8283F" w:rsidP="001E4872">
            <w:pPr>
              <w:spacing w:line="276" w:lineRule="auto"/>
              <w:rPr>
                <w:rFonts w:ascii="Arial" w:hAnsi="Arial" w:cs="Arial"/>
              </w:rPr>
            </w:pPr>
            <w:r w:rsidRPr="00EA3805">
              <w:rPr>
                <w:rFonts w:ascii="Arial" w:hAnsi="Arial" w:cs="Arial"/>
              </w:rPr>
              <w:t>Out of pocket expenses</w:t>
            </w:r>
          </w:p>
        </w:tc>
        <w:tc>
          <w:tcPr>
            <w:tcW w:w="1921" w:type="dxa"/>
          </w:tcPr>
          <w:p w14:paraId="0919ACE2" w14:textId="77777777" w:rsidR="00B8283F" w:rsidRPr="00EA3805" w:rsidRDefault="00B8283F" w:rsidP="001E4872">
            <w:pPr>
              <w:spacing w:line="276" w:lineRule="auto"/>
              <w:rPr>
                <w:rFonts w:ascii="Arial" w:hAnsi="Arial" w:cs="Arial"/>
              </w:rPr>
            </w:pPr>
            <w:r w:rsidRPr="00EA3805">
              <w:rPr>
                <w:rFonts w:ascii="Arial" w:hAnsi="Arial" w:cs="Arial"/>
              </w:rPr>
              <w:t>£30</w:t>
            </w:r>
          </w:p>
          <w:p w14:paraId="390A1E36" w14:textId="77777777" w:rsidR="00B8283F" w:rsidRPr="00EA3805" w:rsidRDefault="00B8283F" w:rsidP="001E4872">
            <w:pPr>
              <w:spacing w:line="276" w:lineRule="auto"/>
              <w:rPr>
                <w:rFonts w:ascii="Arial" w:hAnsi="Arial" w:cs="Arial"/>
              </w:rPr>
            </w:pPr>
            <w:r w:rsidRPr="00EA3805">
              <w:rPr>
                <w:rFonts w:ascii="Arial" w:hAnsi="Arial" w:cs="Arial"/>
              </w:rPr>
              <w:t>Out of pocket expenses are not paid on top</w:t>
            </w:r>
          </w:p>
        </w:tc>
        <w:tc>
          <w:tcPr>
            <w:tcW w:w="1921" w:type="dxa"/>
          </w:tcPr>
          <w:p w14:paraId="5435DBBA" w14:textId="77777777" w:rsidR="00B8283F" w:rsidRPr="00EA3805" w:rsidRDefault="00B8283F" w:rsidP="001E4872">
            <w:pPr>
              <w:spacing w:line="276" w:lineRule="auto"/>
              <w:rPr>
                <w:rFonts w:ascii="Arial" w:hAnsi="Arial" w:cs="Arial"/>
              </w:rPr>
            </w:pPr>
            <w:r w:rsidRPr="00EA3805">
              <w:rPr>
                <w:rFonts w:ascii="Arial" w:hAnsi="Arial" w:cs="Arial"/>
              </w:rPr>
              <w:t xml:space="preserve">A - Cash or Vouchers. </w:t>
            </w:r>
          </w:p>
          <w:p w14:paraId="313B4DCE" w14:textId="77777777" w:rsidR="00B8283F" w:rsidRPr="00EA3805" w:rsidRDefault="00B8283F" w:rsidP="001E4872">
            <w:pPr>
              <w:spacing w:line="276" w:lineRule="auto"/>
              <w:rPr>
                <w:rFonts w:ascii="Arial" w:hAnsi="Arial" w:cs="Arial"/>
              </w:rPr>
            </w:pPr>
            <w:r w:rsidRPr="00EA3805">
              <w:rPr>
                <w:rFonts w:ascii="Arial" w:hAnsi="Arial" w:cs="Arial"/>
              </w:rPr>
              <w:t xml:space="preserve">B – BACs payment via IR35 Exempt form. </w:t>
            </w:r>
          </w:p>
        </w:tc>
      </w:tr>
    </w:tbl>
    <w:p w14:paraId="29F2D039" w14:textId="77777777" w:rsidR="00B8283F" w:rsidRPr="00B8283F" w:rsidRDefault="00B8283F" w:rsidP="00B8283F">
      <w:pPr>
        <w:rPr>
          <w:rFonts w:cs="Arial"/>
        </w:rPr>
      </w:pPr>
    </w:p>
    <w:p w14:paraId="270FE7BA" w14:textId="3E1DF9E1" w:rsidR="00B8283F" w:rsidRPr="003D25E7" w:rsidRDefault="00B8283F" w:rsidP="00B8283F">
      <w:pPr>
        <w:rPr>
          <w:rFonts w:cs="Arial"/>
          <w:sz w:val="22"/>
          <w:szCs w:val="20"/>
        </w:rPr>
      </w:pPr>
      <w:r w:rsidRPr="003D25E7">
        <w:rPr>
          <w:rFonts w:cs="Arial"/>
          <w:sz w:val="22"/>
          <w:szCs w:val="20"/>
        </w:rPr>
        <w:t xml:space="preserve">There should be no difference in reimbursement for involvement whether the meeting takes place virtually or face-to-face. </w:t>
      </w:r>
    </w:p>
    <w:p w14:paraId="1F080202" w14:textId="25F9D330" w:rsidR="00B8283F" w:rsidRPr="003D25E7" w:rsidRDefault="00B8283F" w:rsidP="00B8283F">
      <w:pPr>
        <w:rPr>
          <w:rFonts w:cs="Arial"/>
          <w:sz w:val="22"/>
          <w:szCs w:val="20"/>
        </w:rPr>
      </w:pPr>
      <w:r w:rsidRPr="003D25E7">
        <w:rPr>
          <w:rFonts w:cs="Arial"/>
          <w:sz w:val="22"/>
          <w:szCs w:val="20"/>
        </w:rPr>
        <w:t xml:space="preserve">When you are costing your application, you should liaise with your finance department for advice on costing. You should also discuss how payments will be made and ensure that appropriate processes are in place before you start </w:t>
      </w:r>
      <w:r w:rsidR="001665A4" w:rsidRPr="003D25E7">
        <w:rPr>
          <w:rFonts w:cs="Arial"/>
          <w:sz w:val="22"/>
          <w:szCs w:val="20"/>
        </w:rPr>
        <w:t xml:space="preserve">your activity. </w:t>
      </w:r>
    </w:p>
    <w:p w14:paraId="7C27A0E4" w14:textId="76A80293" w:rsidR="001665A4" w:rsidRPr="003D25E7" w:rsidRDefault="001665A4" w:rsidP="00B8283F">
      <w:pPr>
        <w:rPr>
          <w:rFonts w:cs="Arial"/>
          <w:sz w:val="22"/>
          <w:szCs w:val="20"/>
        </w:rPr>
      </w:pPr>
      <w:r w:rsidRPr="003D25E7">
        <w:rPr>
          <w:rFonts w:cs="Arial"/>
          <w:sz w:val="22"/>
          <w:szCs w:val="20"/>
        </w:rPr>
        <w:t>Funding cannot be used to:</w:t>
      </w:r>
    </w:p>
    <w:p w14:paraId="73463D9A" w14:textId="7CA1D9C5" w:rsidR="001665A4" w:rsidRPr="003D25E7" w:rsidRDefault="001665A4" w:rsidP="001665A4">
      <w:pPr>
        <w:pStyle w:val="ListParagraph"/>
        <w:numPr>
          <w:ilvl w:val="0"/>
          <w:numId w:val="7"/>
        </w:numPr>
        <w:rPr>
          <w:rFonts w:cs="Arial"/>
          <w:sz w:val="22"/>
          <w:szCs w:val="20"/>
        </w:rPr>
      </w:pPr>
      <w:r w:rsidRPr="003D25E7">
        <w:rPr>
          <w:rFonts w:cs="Arial"/>
          <w:sz w:val="22"/>
          <w:szCs w:val="20"/>
        </w:rPr>
        <w:t xml:space="preserve">Pay for the time spent by health professionals, University staff, third sector or voluntary </w:t>
      </w:r>
      <w:r w:rsidR="00D95DF4" w:rsidRPr="003D25E7">
        <w:rPr>
          <w:rFonts w:cs="Arial"/>
          <w:sz w:val="22"/>
          <w:szCs w:val="20"/>
        </w:rPr>
        <w:t>organisation</w:t>
      </w:r>
      <w:r w:rsidR="00284AB3" w:rsidRPr="003D25E7">
        <w:rPr>
          <w:rFonts w:cs="Arial"/>
          <w:sz w:val="22"/>
          <w:szCs w:val="20"/>
        </w:rPr>
        <w:t>’s employees.</w:t>
      </w:r>
    </w:p>
    <w:p w14:paraId="09CDFBDE" w14:textId="010573A9" w:rsidR="00284AB3" w:rsidRPr="003D25E7" w:rsidRDefault="00284AB3" w:rsidP="001665A4">
      <w:pPr>
        <w:pStyle w:val="ListParagraph"/>
        <w:numPr>
          <w:ilvl w:val="0"/>
          <w:numId w:val="7"/>
        </w:numPr>
        <w:rPr>
          <w:rFonts w:cs="Arial"/>
          <w:sz w:val="22"/>
          <w:szCs w:val="20"/>
        </w:rPr>
      </w:pPr>
      <w:r w:rsidRPr="003D25E7">
        <w:rPr>
          <w:rFonts w:cs="Arial"/>
          <w:sz w:val="22"/>
          <w:szCs w:val="20"/>
        </w:rPr>
        <w:t xml:space="preserve">Undertake preliminary pilot work </w:t>
      </w:r>
    </w:p>
    <w:p w14:paraId="3EFF1F71" w14:textId="7FF6065D" w:rsidR="00284AB3" w:rsidRPr="003D25E7" w:rsidRDefault="00284AB3" w:rsidP="001665A4">
      <w:pPr>
        <w:pStyle w:val="ListParagraph"/>
        <w:numPr>
          <w:ilvl w:val="0"/>
          <w:numId w:val="7"/>
        </w:numPr>
        <w:rPr>
          <w:rFonts w:cs="Arial"/>
          <w:sz w:val="22"/>
          <w:szCs w:val="20"/>
        </w:rPr>
      </w:pPr>
      <w:r w:rsidRPr="003D25E7">
        <w:rPr>
          <w:rFonts w:cs="Arial"/>
          <w:sz w:val="22"/>
          <w:szCs w:val="20"/>
        </w:rPr>
        <w:t xml:space="preserve">Hire a venue within the University or your organisation, unless this is fully justified in your application </w:t>
      </w:r>
    </w:p>
    <w:p w14:paraId="08C91C2E" w14:textId="39EC0583" w:rsidR="00284AB3" w:rsidRPr="003D25E7" w:rsidRDefault="00284AB3" w:rsidP="001665A4">
      <w:pPr>
        <w:pStyle w:val="ListParagraph"/>
        <w:numPr>
          <w:ilvl w:val="0"/>
          <w:numId w:val="7"/>
        </w:numPr>
        <w:rPr>
          <w:rFonts w:cs="Arial"/>
          <w:sz w:val="22"/>
          <w:szCs w:val="20"/>
        </w:rPr>
      </w:pPr>
      <w:r w:rsidRPr="003D25E7">
        <w:rPr>
          <w:rFonts w:cs="Arial"/>
          <w:sz w:val="22"/>
          <w:szCs w:val="20"/>
        </w:rPr>
        <w:t>Fund small scale qualitative research projects</w:t>
      </w:r>
    </w:p>
    <w:p w14:paraId="3CAB8F74" w14:textId="65467C48" w:rsidR="00284AB3" w:rsidRPr="003D25E7" w:rsidRDefault="00284AB3" w:rsidP="001665A4">
      <w:pPr>
        <w:pStyle w:val="ListParagraph"/>
        <w:numPr>
          <w:ilvl w:val="0"/>
          <w:numId w:val="7"/>
        </w:numPr>
        <w:rPr>
          <w:rFonts w:cs="Arial"/>
          <w:sz w:val="22"/>
          <w:szCs w:val="20"/>
        </w:rPr>
      </w:pPr>
      <w:r w:rsidRPr="003D25E7">
        <w:rPr>
          <w:rFonts w:cs="Arial"/>
          <w:sz w:val="22"/>
          <w:szCs w:val="20"/>
        </w:rPr>
        <w:t xml:space="preserve">Pay for materials which you can reasonably access in your department </w:t>
      </w:r>
    </w:p>
    <w:p w14:paraId="0BCF6269" w14:textId="77777777" w:rsidR="00284AB3" w:rsidRPr="00284AB3" w:rsidRDefault="00284AB3" w:rsidP="00284AB3">
      <w:pPr>
        <w:rPr>
          <w:rFonts w:cs="Arial"/>
        </w:rPr>
      </w:pPr>
    </w:p>
    <w:p w14:paraId="5B112B44" w14:textId="720679F5" w:rsidR="00B8283F" w:rsidRPr="003D25E7" w:rsidRDefault="00B8283F" w:rsidP="00B8283F">
      <w:pPr>
        <w:rPr>
          <w:rFonts w:cs="Arial"/>
          <w:b/>
          <w:bCs/>
        </w:rPr>
      </w:pPr>
      <w:r w:rsidRPr="003D25E7">
        <w:rPr>
          <w:rFonts w:cs="Arial"/>
          <w:b/>
          <w:bCs/>
        </w:rPr>
        <w:t>Reporting and monitoring</w:t>
      </w:r>
    </w:p>
    <w:p w14:paraId="7D81A4C9" w14:textId="5EDC3DBA" w:rsidR="00B8283F" w:rsidRPr="003D25E7" w:rsidRDefault="00B8283F" w:rsidP="00B8283F">
      <w:pPr>
        <w:rPr>
          <w:rFonts w:cs="Arial"/>
          <w:sz w:val="22"/>
          <w:szCs w:val="20"/>
        </w:rPr>
      </w:pPr>
      <w:r w:rsidRPr="003D25E7">
        <w:rPr>
          <w:rFonts w:cs="Arial"/>
          <w:sz w:val="22"/>
          <w:szCs w:val="20"/>
        </w:rPr>
        <w:t>If successful, the award will be paid in arrears into a University account only on receipt of:</w:t>
      </w:r>
    </w:p>
    <w:p w14:paraId="4238FD62" w14:textId="413E6F23" w:rsidR="00B8283F" w:rsidRPr="003D25E7" w:rsidRDefault="00B8283F" w:rsidP="00B8283F">
      <w:pPr>
        <w:pStyle w:val="ListParagraph"/>
        <w:numPr>
          <w:ilvl w:val="0"/>
          <w:numId w:val="6"/>
        </w:numPr>
        <w:rPr>
          <w:rFonts w:cs="Arial"/>
          <w:sz w:val="22"/>
          <w:szCs w:val="20"/>
        </w:rPr>
      </w:pPr>
      <w:r w:rsidRPr="003D25E7">
        <w:rPr>
          <w:rFonts w:cs="Arial"/>
          <w:sz w:val="22"/>
          <w:szCs w:val="20"/>
        </w:rPr>
        <w:t>An invoice on completion of the specified activities, or as stated in the funding approval letter</w:t>
      </w:r>
    </w:p>
    <w:p w14:paraId="3F08924B" w14:textId="3EC48485" w:rsidR="00B8283F" w:rsidRPr="003D25E7" w:rsidRDefault="00B8283F" w:rsidP="00B8283F">
      <w:pPr>
        <w:pStyle w:val="ListParagraph"/>
        <w:numPr>
          <w:ilvl w:val="0"/>
          <w:numId w:val="6"/>
        </w:numPr>
        <w:rPr>
          <w:rFonts w:cs="Arial"/>
          <w:sz w:val="22"/>
          <w:szCs w:val="20"/>
        </w:rPr>
      </w:pPr>
      <w:r w:rsidRPr="003D25E7">
        <w:rPr>
          <w:rFonts w:cs="Arial"/>
          <w:sz w:val="22"/>
          <w:szCs w:val="20"/>
        </w:rPr>
        <w:t>A completed form that covers how the award was used</w:t>
      </w:r>
    </w:p>
    <w:p w14:paraId="141CACE0" w14:textId="43D55167" w:rsidR="00B8283F" w:rsidRPr="003D25E7" w:rsidRDefault="00B8283F" w:rsidP="00B8283F">
      <w:pPr>
        <w:pStyle w:val="ListParagraph"/>
        <w:numPr>
          <w:ilvl w:val="0"/>
          <w:numId w:val="6"/>
        </w:numPr>
        <w:rPr>
          <w:rFonts w:cs="Arial"/>
          <w:sz w:val="22"/>
          <w:szCs w:val="20"/>
        </w:rPr>
      </w:pPr>
      <w:r w:rsidRPr="003D25E7">
        <w:rPr>
          <w:rFonts w:cs="Arial"/>
          <w:sz w:val="22"/>
          <w:szCs w:val="20"/>
        </w:rPr>
        <w:t>Where possible to gather and share images that may be used by the Public Engagement team for internal reporting purposes- do not include identifiable images of individuals</w:t>
      </w:r>
    </w:p>
    <w:p w14:paraId="4F24DD2B" w14:textId="44964430" w:rsidR="00B8283F" w:rsidRPr="003D25E7" w:rsidRDefault="00B8283F" w:rsidP="00B8283F">
      <w:pPr>
        <w:pStyle w:val="ListParagraph"/>
        <w:numPr>
          <w:ilvl w:val="0"/>
          <w:numId w:val="6"/>
        </w:numPr>
        <w:rPr>
          <w:rFonts w:cs="Arial"/>
          <w:sz w:val="22"/>
          <w:szCs w:val="20"/>
        </w:rPr>
      </w:pPr>
      <w:r w:rsidRPr="003D25E7">
        <w:rPr>
          <w:rFonts w:cs="Arial"/>
          <w:sz w:val="22"/>
          <w:szCs w:val="20"/>
        </w:rPr>
        <w:t>Information about submission of the grant, including grant amount</w:t>
      </w:r>
    </w:p>
    <w:p w14:paraId="378BEB7A" w14:textId="1C38645F" w:rsidR="00B8283F" w:rsidRPr="003D25E7" w:rsidRDefault="00B8283F" w:rsidP="00B8283F">
      <w:pPr>
        <w:rPr>
          <w:rFonts w:cs="Arial"/>
          <w:sz w:val="22"/>
          <w:szCs w:val="20"/>
        </w:rPr>
      </w:pPr>
    </w:p>
    <w:p w14:paraId="686428B2" w14:textId="3CB77F29" w:rsidR="00284AB3" w:rsidRPr="003D25E7" w:rsidRDefault="00284AB3" w:rsidP="00B8283F">
      <w:pPr>
        <w:rPr>
          <w:rFonts w:cs="Arial"/>
          <w:b/>
          <w:bCs/>
        </w:rPr>
      </w:pPr>
      <w:r w:rsidRPr="003D25E7">
        <w:rPr>
          <w:rFonts w:cs="Arial"/>
          <w:b/>
          <w:bCs/>
        </w:rPr>
        <w:t xml:space="preserve">Acknowledgements </w:t>
      </w:r>
    </w:p>
    <w:p w14:paraId="1DC9ABB9" w14:textId="77777777" w:rsidR="00F20C14" w:rsidRPr="003D25E7" w:rsidRDefault="00F20C14" w:rsidP="00F20C14">
      <w:pPr>
        <w:spacing w:after="0" w:line="276" w:lineRule="auto"/>
        <w:rPr>
          <w:sz w:val="22"/>
          <w:szCs w:val="20"/>
        </w:rPr>
      </w:pPr>
      <w:r w:rsidRPr="003D25E7">
        <w:rPr>
          <w:sz w:val="22"/>
          <w:szCs w:val="20"/>
        </w:rPr>
        <w:t xml:space="preserve">We would like to thank the Research Design Service PPI forum for their knowledge and expertise in the preparation of the guidance and documentation for this funding call. We would also like to acknowledge the </w:t>
      </w:r>
      <w:proofErr w:type="spellStart"/>
      <w:r w:rsidRPr="003D25E7">
        <w:rPr>
          <w:sz w:val="22"/>
          <w:szCs w:val="20"/>
        </w:rPr>
        <w:t>Wellcome</w:t>
      </w:r>
      <w:proofErr w:type="spellEnd"/>
      <w:r w:rsidRPr="003D25E7">
        <w:rPr>
          <w:sz w:val="22"/>
          <w:szCs w:val="20"/>
        </w:rPr>
        <w:t xml:space="preserve"> Trust who have contributed to the funding.</w:t>
      </w:r>
    </w:p>
    <w:p w14:paraId="27B30551" w14:textId="77777777" w:rsidR="00284AB3" w:rsidRDefault="00284AB3" w:rsidP="00B8283F">
      <w:pPr>
        <w:rPr>
          <w:rFonts w:cs="Arial"/>
        </w:rPr>
      </w:pPr>
    </w:p>
    <w:p w14:paraId="3A6F5D77" w14:textId="77777777" w:rsidR="00B8283F" w:rsidRPr="00B8283F" w:rsidRDefault="00B8283F" w:rsidP="00B8283F">
      <w:pPr>
        <w:rPr>
          <w:rFonts w:cs="Arial"/>
        </w:rPr>
      </w:pPr>
    </w:p>
    <w:sectPr w:rsidR="00B8283F" w:rsidRPr="00B82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D6000"/>
    <w:multiLevelType w:val="hybridMultilevel"/>
    <w:tmpl w:val="7C0C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96B90"/>
    <w:multiLevelType w:val="hybridMultilevel"/>
    <w:tmpl w:val="899C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E7182"/>
    <w:multiLevelType w:val="hybridMultilevel"/>
    <w:tmpl w:val="996C2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B1858"/>
    <w:multiLevelType w:val="hybridMultilevel"/>
    <w:tmpl w:val="4190A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5323D"/>
    <w:multiLevelType w:val="hybridMultilevel"/>
    <w:tmpl w:val="0672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34625F"/>
    <w:multiLevelType w:val="hybridMultilevel"/>
    <w:tmpl w:val="4C2C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7F328C"/>
    <w:multiLevelType w:val="hybridMultilevel"/>
    <w:tmpl w:val="E43EC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76"/>
    <w:rsid w:val="001665A4"/>
    <w:rsid w:val="00284AB3"/>
    <w:rsid w:val="0032676E"/>
    <w:rsid w:val="003D25E7"/>
    <w:rsid w:val="00440077"/>
    <w:rsid w:val="0077040A"/>
    <w:rsid w:val="00B54721"/>
    <w:rsid w:val="00B8283F"/>
    <w:rsid w:val="00D44608"/>
    <w:rsid w:val="00D95DF4"/>
    <w:rsid w:val="00DC4876"/>
    <w:rsid w:val="00EA3805"/>
    <w:rsid w:val="00EF4C60"/>
    <w:rsid w:val="00F20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EA580"/>
  <w15:chartTrackingRefBased/>
  <w15:docId w15:val="{6E4DCB97-0296-4041-AC22-B19EEF10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B8283F"/>
    <w:pPr>
      <w:keepNext/>
      <w:keepLines/>
      <w:spacing w:before="40" w:after="0"/>
      <w:outlineLvl w:val="3"/>
    </w:pPr>
    <w:rPr>
      <w:rFonts w:asciiTheme="majorHAnsi" w:eastAsiaTheme="majorEastAsia" w:hAnsiTheme="majorHAnsi" w:cstheme="majorBidi"/>
      <w:color w:val="2F5496" w:themeColor="accent1" w:themeShade="B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76"/>
    <w:pPr>
      <w:ind w:left="720"/>
      <w:contextualSpacing/>
    </w:pPr>
  </w:style>
  <w:style w:type="character" w:styleId="Hyperlink">
    <w:name w:val="Hyperlink"/>
    <w:basedOn w:val="DefaultParagraphFont"/>
    <w:uiPriority w:val="99"/>
    <w:unhideWhenUsed/>
    <w:rsid w:val="00DC4876"/>
    <w:rPr>
      <w:color w:val="0563C1" w:themeColor="hyperlink"/>
      <w:u w:val="single"/>
    </w:rPr>
  </w:style>
  <w:style w:type="character" w:customStyle="1" w:styleId="UnresolvedMention">
    <w:name w:val="Unresolved Mention"/>
    <w:basedOn w:val="DefaultParagraphFont"/>
    <w:uiPriority w:val="99"/>
    <w:semiHidden/>
    <w:unhideWhenUsed/>
    <w:rsid w:val="00DC4876"/>
    <w:rPr>
      <w:color w:val="605E5C"/>
      <w:shd w:val="clear" w:color="auto" w:fill="E1DFDD"/>
    </w:rPr>
  </w:style>
  <w:style w:type="character" w:customStyle="1" w:styleId="Heading4Char">
    <w:name w:val="Heading 4 Char"/>
    <w:basedOn w:val="DefaultParagraphFont"/>
    <w:link w:val="Heading4"/>
    <w:uiPriority w:val="9"/>
    <w:rsid w:val="00B8283F"/>
    <w:rPr>
      <w:rFonts w:asciiTheme="majorHAnsi" w:eastAsiaTheme="majorEastAsia" w:hAnsiTheme="majorHAnsi" w:cstheme="majorBidi"/>
      <w:color w:val="2F5496" w:themeColor="accent1" w:themeShade="BF"/>
      <w:szCs w:val="24"/>
      <w:lang w:eastAsia="en-GB"/>
    </w:rPr>
  </w:style>
  <w:style w:type="table" w:styleId="TableGrid">
    <w:name w:val="Table Grid"/>
    <w:basedOn w:val="TableNormal"/>
    <w:uiPriority w:val="59"/>
    <w:rsid w:val="00B8283F"/>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eam@leed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ds-yh.nihr.ac.uk/about-the-rds/who-can-use-the-rds/" TargetMode="External"/><Relationship Id="rId5" Type="http://schemas.openxmlformats.org/officeDocument/2006/relationships/styles" Target="styles.xml"/><Relationship Id="rId10" Type="http://schemas.openxmlformats.org/officeDocument/2006/relationships/hyperlink" Target="http://www.invo.org.uk/resource-centre/resource-for-researchers/" TargetMode="External"/><Relationship Id="rId4" Type="http://schemas.openxmlformats.org/officeDocument/2006/relationships/numbering" Target="numbering.xml"/><Relationship Id="rId9" Type="http://schemas.openxmlformats.org/officeDocument/2006/relationships/hyperlink" Target="mailto:peteam@leed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fb5a192-f488-4040-9765-23e672fe8c6b">
      <Terms xmlns="http://schemas.microsoft.com/office/infopath/2007/PartnerControls"/>
    </lcf76f155ced4ddcb4097134ff3c332f>
    <TaxCatchAll xmlns="f8945653-8eff-44ef-a544-b6e82dd5a2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51A46551881A4EB7575585D0DD4A95" ma:contentTypeVersion="16" ma:contentTypeDescription="Create a new document." ma:contentTypeScope="" ma:versionID="1ea8a767a6a93e61921c5e1ba70104b4">
  <xsd:schema xmlns:xsd="http://www.w3.org/2001/XMLSchema" xmlns:xs="http://www.w3.org/2001/XMLSchema" xmlns:p="http://schemas.microsoft.com/office/2006/metadata/properties" xmlns:ns2="5fb5a192-f488-4040-9765-23e672fe8c6b" xmlns:ns3="f8945653-8eff-44ef-a544-b6e82dd5a2f8" targetNamespace="http://schemas.microsoft.com/office/2006/metadata/properties" ma:root="true" ma:fieldsID="2771b225f52855a006094810b5e5a1ac" ns2:_="" ns3:_="">
    <xsd:import namespace="5fb5a192-f488-4040-9765-23e672fe8c6b"/>
    <xsd:import namespace="f8945653-8eff-44ef-a544-b6e82dd5a2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a192-f488-4040-9765-23e672fe8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945653-8eff-44ef-a544-b6e82dd5a2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d4a9fa-9dd3-4df2-a67d-102d5f00c92a}" ma:internalName="TaxCatchAll" ma:showField="CatchAllData" ma:web="f8945653-8eff-44ef-a544-b6e82dd5a2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6A793F-9F2E-4852-85F2-AA7C2A61B5A6}">
  <ds:schemaRefs>
    <ds:schemaRef ds:uri="http://schemas.microsoft.com/sharepoint/v3/contenttype/forms"/>
  </ds:schemaRefs>
</ds:datastoreItem>
</file>

<file path=customXml/itemProps2.xml><?xml version="1.0" encoding="utf-8"?>
<ds:datastoreItem xmlns:ds="http://schemas.openxmlformats.org/officeDocument/2006/customXml" ds:itemID="{20765643-219B-45D5-8A36-FDB28FD856A9}">
  <ds:schemaRefs>
    <ds:schemaRef ds:uri="http://schemas.microsoft.com/office/2006/metadata/properties"/>
    <ds:schemaRef ds:uri="http://schemas.microsoft.com/office/infopath/2007/PartnerControls"/>
    <ds:schemaRef ds:uri="5fb5a192-f488-4040-9765-23e672fe8c6b"/>
    <ds:schemaRef ds:uri="f8945653-8eff-44ef-a544-b6e82dd5a2f8"/>
  </ds:schemaRefs>
</ds:datastoreItem>
</file>

<file path=customXml/itemProps3.xml><?xml version="1.0" encoding="utf-8"?>
<ds:datastoreItem xmlns:ds="http://schemas.openxmlformats.org/officeDocument/2006/customXml" ds:itemID="{3088805B-4607-410E-A627-344B78D66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a192-f488-4040-9765-23e672fe8c6b"/>
    <ds:schemaRef ds:uri="f8945653-8eff-44ef-a544-b6e82dd5a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Roblin-Robson</dc:creator>
  <cp:keywords/>
  <dc:description/>
  <cp:lastModifiedBy>Poppy Leeder</cp:lastModifiedBy>
  <cp:revision>2</cp:revision>
  <dcterms:created xsi:type="dcterms:W3CDTF">2023-01-16T13:55:00Z</dcterms:created>
  <dcterms:modified xsi:type="dcterms:W3CDTF">2023-01-16T13:55:00Z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0x0101004351A46551881A4EB7575585D0DD4A95</vt:lpwstr>
  </property>
</Properties>
</file>